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0AB27">
      <w:pPr>
        <w:snapToGrid w:val="0"/>
        <w:spacing w:line="360" w:lineRule="auto"/>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接受认证组织或团体认证申请之前的声明</w:t>
      </w:r>
    </w:p>
    <w:p w14:paraId="1CA2E89A">
      <w:pPr>
        <w:snapToGrid w:val="0"/>
        <w:spacing w:line="360" w:lineRule="auto"/>
        <w:jc w:val="center"/>
        <w:rPr>
          <w:rFonts w:ascii="Times New Roman" w:hAnsi="Times New Roman" w:eastAsia="宋体" w:cs="Times New Roman"/>
          <w:sz w:val="28"/>
          <w:szCs w:val="32"/>
        </w:rPr>
      </w:pPr>
      <w:r>
        <w:rPr>
          <w:rFonts w:ascii="Times New Roman" w:hAnsi="Times New Roman" w:eastAsia="宋体" w:cs="Times New Roman"/>
          <w:sz w:val="28"/>
          <w:szCs w:val="32"/>
        </w:rPr>
        <w:t>Declaration</w:t>
      </w:r>
      <w:r>
        <w:rPr>
          <w:rFonts w:hint="eastAsia" w:ascii="Times New Roman" w:hAnsi="Times New Roman" w:eastAsia="宋体" w:cs="Times New Roman"/>
          <w:sz w:val="28"/>
          <w:szCs w:val="32"/>
        </w:rPr>
        <w:t xml:space="preserve"> before accepting to certify operators or groups of operators</w:t>
      </w:r>
    </w:p>
    <w:p w14:paraId="30C20B27">
      <w:pPr>
        <w:snapToGrid w:val="0"/>
        <w:spacing w:line="360" w:lineRule="auto"/>
        <w:jc w:val="center"/>
        <w:rPr>
          <w:rFonts w:ascii="Times New Roman" w:hAnsi="Times New Roman" w:eastAsia="宋体" w:cs="Times New Roman"/>
          <w:sz w:val="28"/>
          <w:szCs w:val="32"/>
        </w:rPr>
      </w:pPr>
    </w:p>
    <w:p w14:paraId="1F329B48">
      <w:pPr>
        <w:snapToGrid w:val="0"/>
        <w:spacing w:line="360" w:lineRule="auto"/>
        <w:jc w:val="left"/>
        <w:rPr>
          <w:rFonts w:ascii="Times New Roman" w:hAnsi="Times New Roman" w:eastAsia="宋体" w:cs="Times New Roman"/>
          <w:sz w:val="28"/>
          <w:szCs w:val="32"/>
        </w:rPr>
      </w:pPr>
      <w:r>
        <w:rPr>
          <w:rFonts w:ascii="Times New Roman" w:hAnsi="Times New Roman" w:eastAsia="宋体" w:cs="Times New Roman"/>
          <w:sz w:val="28"/>
          <w:szCs w:val="32"/>
        </w:rPr>
        <w:t>(i) 有机和/或转换期内</w:t>
      </w:r>
      <w:r>
        <w:rPr>
          <w:rFonts w:ascii="Times New Roman" w:hAnsi="Times New Roman" w:eastAsia="宋体" w:cs="Times New Roman"/>
          <w:color w:val="FF0000"/>
          <w:sz w:val="28"/>
          <w:szCs w:val="32"/>
        </w:rPr>
        <w:t>生产单元</w:t>
      </w:r>
      <w:r>
        <w:rPr>
          <w:rFonts w:ascii="Times New Roman" w:hAnsi="Times New Roman" w:eastAsia="宋体" w:cs="Times New Roman"/>
          <w:sz w:val="28"/>
          <w:szCs w:val="32"/>
        </w:rPr>
        <w:t>，并在相关情况下，常规生产单元以及根据（EU）2018/848法规要求将要进行的</w:t>
      </w:r>
      <w:r>
        <w:rPr>
          <w:rFonts w:ascii="Times New Roman" w:hAnsi="Times New Roman" w:eastAsia="宋体" w:cs="Times New Roman"/>
          <w:color w:val="FF0000"/>
          <w:sz w:val="28"/>
          <w:szCs w:val="32"/>
        </w:rPr>
        <w:t>活动</w:t>
      </w:r>
      <w:r>
        <w:rPr>
          <w:rFonts w:ascii="Times New Roman" w:hAnsi="Times New Roman" w:eastAsia="宋体" w:cs="Times New Roman"/>
          <w:sz w:val="28"/>
          <w:szCs w:val="32"/>
        </w:rPr>
        <w:t>的描述。</w:t>
      </w:r>
      <w:r>
        <w:rPr>
          <w:rFonts w:hint="eastAsia" w:ascii="Times New Roman" w:hAnsi="Times New Roman" w:eastAsia="宋体" w:cs="Times New Roman"/>
          <w:sz w:val="28"/>
          <w:szCs w:val="32"/>
        </w:rPr>
        <w:t>（类似国标管理手册中的有机产品审查、加工、经营者的简介）</w:t>
      </w:r>
    </w:p>
    <w:p w14:paraId="737BD0E6">
      <w:pPr>
        <w:snapToGrid w:val="0"/>
        <w:spacing w:line="360" w:lineRule="auto"/>
        <w:ind w:firstLine="560" w:firstLineChars="200"/>
        <w:jc w:val="left"/>
        <w:rPr>
          <w:rFonts w:ascii="Times New Roman" w:hAnsi="Times New Roman" w:eastAsia="宋体" w:cs="Times New Roman"/>
          <w:sz w:val="28"/>
          <w:szCs w:val="32"/>
        </w:rPr>
      </w:pPr>
      <w:r>
        <w:rPr>
          <w:rFonts w:ascii="Times New Roman" w:hAnsi="Times New Roman" w:eastAsia="宋体" w:cs="Times New Roman"/>
          <w:sz w:val="28"/>
          <w:szCs w:val="32"/>
        </w:rPr>
        <w:t>A description of the organic and/or in-conversion production unit and, where relevant, of the non-organic production units and of the activities to be performed in accordance with Regulation (EU) 2018/848;</w:t>
      </w:r>
    </w:p>
    <w:p w14:paraId="700A0D26">
      <w:pPr>
        <w:snapToGrid w:val="0"/>
        <w:spacing w:line="360" w:lineRule="auto"/>
        <w:jc w:val="center"/>
        <w:rPr>
          <w:rFonts w:ascii="Times New Roman" w:hAnsi="Times New Roman" w:eastAsia="宋体" w:cs="Times New Roman"/>
          <w:sz w:val="28"/>
          <w:szCs w:val="32"/>
        </w:rPr>
      </w:pPr>
    </w:p>
    <w:p w14:paraId="4CA765E9">
      <w:pPr>
        <w:snapToGrid w:val="0"/>
        <w:spacing w:line="360" w:lineRule="auto"/>
        <w:jc w:val="left"/>
        <w:rPr>
          <w:rFonts w:ascii="Times New Roman" w:hAnsi="Times New Roman" w:eastAsia="宋体" w:cs="Times New Roman"/>
          <w:sz w:val="28"/>
          <w:szCs w:val="32"/>
        </w:rPr>
      </w:pPr>
      <w:r>
        <w:rPr>
          <w:rFonts w:ascii="Times New Roman" w:hAnsi="Times New Roman" w:eastAsia="宋体" w:cs="Times New Roman"/>
          <w:sz w:val="28"/>
          <w:szCs w:val="32"/>
        </w:rPr>
        <w:t>(ii) 在有机和/或转换期内</w:t>
      </w:r>
      <w:r>
        <w:rPr>
          <w:rFonts w:ascii="Times New Roman" w:hAnsi="Times New Roman" w:eastAsia="宋体" w:cs="Times New Roman"/>
          <w:color w:val="FF0000"/>
          <w:sz w:val="28"/>
          <w:szCs w:val="32"/>
        </w:rPr>
        <w:t>生产单元</w:t>
      </w:r>
      <w:r>
        <w:rPr>
          <w:rFonts w:ascii="Times New Roman" w:hAnsi="Times New Roman" w:eastAsia="宋体" w:cs="Times New Roman"/>
          <w:sz w:val="28"/>
          <w:szCs w:val="32"/>
        </w:rPr>
        <w:t>和/或/</w:t>
      </w:r>
      <w:r>
        <w:rPr>
          <w:rFonts w:ascii="Times New Roman" w:hAnsi="Times New Roman" w:eastAsia="宋体" w:cs="Times New Roman"/>
          <w:color w:val="FF0000"/>
          <w:sz w:val="28"/>
          <w:szCs w:val="32"/>
        </w:rPr>
        <w:t>经营场所</w:t>
      </w:r>
      <w:r>
        <w:rPr>
          <w:rFonts w:ascii="Times New Roman" w:hAnsi="Times New Roman" w:eastAsia="宋体" w:cs="Times New Roman"/>
          <w:sz w:val="28"/>
          <w:szCs w:val="32"/>
        </w:rPr>
        <w:t>和/或</w:t>
      </w:r>
      <w:r>
        <w:rPr>
          <w:rFonts w:ascii="Times New Roman" w:hAnsi="Times New Roman" w:eastAsia="宋体" w:cs="Times New Roman"/>
          <w:color w:val="FF0000"/>
          <w:sz w:val="28"/>
          <w:szCs w:val="32"/>
        </w:rPr>
        <w:t>活动层面</w:t>
      </w:r>
      <w:r>
        <w:rPr>
          <w:rFonts w:ascii="Times New Roman" w:hAnsi="Times New Roman" w:eastAsia="宋体" w:cs="Times New Roman"/>
          <w:sz w:val="28"/>
          <w:szCs w:val="32"/>
        </w:rPr>
        <w:t>将要采取的</w:t>
      </w:r>
      <w:r>
        <w:rPr>
          <w:rFonts w:ascii="Times New Roman" w:hAnsi="Times New Roman" w:eastAsia="宋体" w:cs="Times New Roman"/>
          <w:color w:val="FF0000"/>
          <w:sz w:val="28"/>
          <w:szCs w:val="32"/>
        </w:rPr>
        <w:t>相关措施</w:t>
      </w:r>
      <w:r>
        <w:rPr>
          <w:rFonts w:ascii="Times New Roman" w:hAnsi="Times New Roman" w:eastAsia="宋体" w:cs="Times New Roman"/>
          <w:sz w:val="28"/>
          <w:szCs w:val="32"/>
        </w:rPr>
        <w:t>，以确保遵守(EU) 2018/848法规要求。</w:t>
      </w:r>
      <w:r>
        <w:rPr>
          <w:rFonts w:hint="eastAsia" w:ascii="Times New Roman" w:hAnsi="Times New Roman" w:eastAsia="宋体" w:cs="Times New Roman"/>
          <w:sz w:val="28"/>
          <w:szCs w:val="32"/>
        </w:rPr>
        <w:t>（类似国标操作规程中的作物种植、食用菌栽培、野生采集、畜禽养殖、水产养殖/捕捞、蜜蜂养殖、产品加工等技术规程）</w:t>
      </w:r>
    </w:p>
    <w:p w14:paraId="4CFD8644">
      <w:pPr>
        <w:snapToGrid w:val="0"/>
        <w:spacing w:line="360" w:lineRule="auto"/>
        <w:ind w:firstLine="560" w:firstLineChars="200"/>
        <w:jc w:val="left"/>
        <w:rPr>
          <w:rFonts w:ascii="Times New Roman" w:hAnsi="Times New Roman" w:eastAsia="宋体" w:cs="Times New Roman"/>
          <w:sz w:val="28"/>
          <w:szCs w:val="32"/>
        </w:rPr>
      </w:pPr>
      <w:r>
        <w:rPr>
          <w:rFonts w:ascii="Times New Roman" w:hAnsi="Times New Roman" w:eastAsia="宋体" w:cs="Times New Roman"/>
          <w:sz w:val="28"/>
          <w:szCs w:val="32"/>
        </w:rPr>
        <w:t>The relevant measures to be taken at the level of the organic and/or in-conversion unit and/or premises and/or activities to ensure compliance with Regulation (EU) 2018/848;</w:t>
      </w:r>
    </w:p>
    <w:p w14:paraId="3514CAC0">
      <w:pPr>
        <w:snapToGrid w:val="0"/>
        <w:spacing w:line="360" w:lineRule="auto"/>
        <w:jc w:val="center"/>
        <w:rPr>
          <w:rFonts w:ascii="Times New Roman" w:hAnsi="Times New Roman" w:eastAsia="宋体" w:cs="Times New Roman"/>
          <w:sz w:val="28"/>
          <w:szCs w:val="32"/>
        </w:rPr>
      </w:pPr>
    </w:p>
    <w:p w14:paraId="79B2FEBD">
      <w:pPr>
        <w:snapToGrid w:val="0"/>
        <w:spacing w:line="360" w:lineRule="auto"/>
        <w:jc w:val="left"/>
        <w:rPr>
          <w:rFonts w:ascii="Times New Roman" w:hAnsi="Times New Roman" w:eastAsia="宋体" w:cs="Times New Roman"/>
          <w:sz w:val="28"/>
          <w:szCs w:val="32"/>
        </w:rPr>
      </w:pPr>
      <w:r>
        <w:rPr>
          <w:rFonts w:ascii="Times New Roman" w:hAnsi="Times New Roman" w:eastAsia="宋体" w:cs="Times New Roman"/>
          <w:sz w:val="28"/>
          <w:szCs w:val="32"/>
        </w:rPr>
        <w:t>(iii) 为减少未经授权的产品或物质污染的风险而将要采取的</w:t>
      </w:r>
      <w:r>
        <w:rPr>
          <w:rFonts w:ascii="Times New Roman" w:hAnsi="Times New Roman" w:eastAsia="宋体" w:cs="Times New Roman"/>
          <w:color w:val="FF0000"/>
          <w:sz w:val="28"/>
          <w:szCs w:val="32"/>
        </w:rPr>
        <w:t>预防措施</w:t>
      </w:r>
      <w:r>
        <w:rPr>
          <w:rFonts w:ascii="Times New Roman" w:hAnsi="Times New Roman" w:eastAsia="宋体" w:cs="Times New Roman"/>
          <w:sz w:val="28"/>
          <w:szCs w:val="32"/>
        </w:rPr>
        <w:t>，以及在生产、制备和分销的各个阶段将要采取的</w:t>
      </w:r>
      <w:r>
        <w:rPr>
          <w:rFonts w:ascii="Times New Roman" w:hAnsi="Times New Roman" w:eastAsia="宋体" w:cs="Times New Roman"/>
          <w:color w:val="FF0000"/>
          <w:sz w:val="28"/>
          <w:szCs w:val="32"/>
        </w:rPr>
        <w:t>清洁措施</w:t>
      </w:r>
      <w:r>
        <w:rPr>
          <w:rFonts w:ascii="Times New Roman" w:hAnsi="Times New Roman" w:eastAsia="宋体" w:cs="Times New Roman"/>
          <w:sz w:val="28"/>
          <w:szCs w:val="32"/>
        </w:rPr>
        <w:t>。</w:t>
      </w:r>
      <w:r>
        <w:rPr>
          <w:rFonts w:hint="eastAsia" w:ascii="Times New Roman" w:hAnsi="Times New Roman" w:eastAsia="宋体" w:cs="Times New Roman"/>
          <w:sz w:val="28"/>
          <w:szCs w:val="32"/>
        </w:rPr>
        <w:t>（类似国标操作规程中的防止有机产品受禁用物质污染所采取的预防措施；防止有机产品与常规产品混杂所采取的措施（必要时）；植物产品、食用菌收获规程及收获、采集后运输、贮藏等环节的操作规程；动物产品的屠宰、捕捞、提取、运输及贮藏等环节的操作规程；加工产品的运输、贮藏等各道工序的操作规程；运输工具、机械设备及仓储设施的维护、清洁规程；加工厂卫生管理与有害生物控制规程）</w:t>
      </w:r>
    </w:p>
    <w:p w14:paraId="4904119E">
      <w:pPr>
        <w:snapToGrid w:val="0"/>
        <w:spacing w:line="360" w:lineRule="auto"/>
        <w:ind w:firstLine="560" w:firstLineChars="200"/>
        <w:jc w:val="left"/>
        <w:rPr>
          <w:rFonts w:ascii="Times New Roman" w:hAnsi="Times New Roman" w:eastAsia="宋体" w:cs="Times New Roman"/>
          <w:sz w:val="28"/>
          <w:szCs w:val="32"/>
        </w:rPr>
      </w:pPr>
      <w:r>
        <w:rPr>
          <w:rFonts w:ascii="Times New Roman" w:hAnsi="Times New Roman" w:eastAsia="宋体" w:cs="Times New Roman"/>
          <w:sz w:val="28"/>
          <w:szCs w:val="32"/>
        </w:rPr>
        <w:t>The precautionary measures to be taken in order to reduce the risk of contamination by non-authorised products or substances and the cleaning measures to be taken throughout the stages of production, preparation and distribution;</w:t>
      </w:r>
    </w:p>
    <w:p w14:paraId="79D5CA72">
      <w:pPr>
        <w:snapToGrid w:val="0"/>
        <w:spacing w:line="360" w:lineRule="auto"/>
        <w:jc w:val="left"/>
        <w:rPr>
          <w:rFonts w:ascii="Times New Roman" w:hAnsi="Times New Roman" w:eastAsia="宋体" w:cs="Times New Roman"/>
          <w:sz w:val="28"/>
          <w:szCs w:val="32"/>
        </w:rPr>
      </w:pPr>
    </w:p>
    <w:p w14:paraId="1F3F5064">
      <w:pPr>
        <w:snapToGrid w:val="0"/>
        <w:spacing w:line="360" w:lineRule="auto"/>
        <w:jc w:val="left"/>
        <w:rPr>
          <w:rFonts w:ascii="Times New Roman" w:hAnsi="Times New Roman" w:eastAsia="宋体" w:cs="Times New Roman"/>
          <w:sz w:val="28"/>
          <w:szCs w:val="32"/>
        </w:rPr>
      </w:pPr>
    </w:p>
    <w:p w14:paraId="53808716">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声明人姓名（签字）：Name of the declarant (signed):</w:t>
      </w:r>
    </w:p>
    <w:p w14:paraId="0AB188B4">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声明组织名称（盖章）：Name of the operator or group making the declaration (stamped):</w:t>
      </w:r>
    </w:p>
    <w:p w14:paraId="69A606D8">
      <w:pPr>
        <w:snapToGrid w:val="0"/>
        <w:spacing w:line="360" w:lineRule="auto"/>
        <w:jc w:val="left"/>
        <w:rPr>
          <w:rFonts w:hint="default" w:ascii="Times New Roman" w:hAnsi="Times New Roman" w:eastAsia="宋体" w:cs="Times New Roman"/>
          <w:sz w:val="28"/>
          <w:szCs w:val="32"/>
          <w:lang w:val="en-US" w:eastAsia="zh-CN"/>
        </w:rPr>
      </w:pPr>
      <w:r>
        <w:rPr>
          <w:rFonts w:hint="eastAsia" w:ascii="Times New Roman" w:hAnsi="Times New Roman" w:eastAsia="宋体" w:cs="Times New Roman"/>
          <w:sz w:val="28"/>
          <w:szCs w:val="32"/>
        </w:rPr>
        <w:t>声明时间：Date of declaration:</w:t>
      </w:r>
      <w:bookmarkStart w:id="0" w:name="_GoBack"/>
      <w:r>
        <w:rPr>
          <w:rFonts w:hint="eastAsia" w:ascii="Times New Roman" w:hAnsi="Times New Roman" w:eastAsia="宋体" w:cs="Times New Roman"/>
          <w:sz w:val="28"/>
          <w:szCs w:val="32"/>
          <w:lang w:val="en-US" w:eastAsia="zh-CN"/>
        </w:rPr>
        <w:t>2025-04-18</w:t>
      </w:r>
      <w:bookmarkEnd w:id="0"/>
    </w:p>
    <w:p w14:paraId="548BB87B">
      <w:pPr>
        <w:snapToGrid w:val="0"/>
        <w:spacing w:line="360" w:lineRule="auto"/>
        <w:jc w:val="left"/>
        <w:rPr>
          <w:rFonts w:ascii="Times New Roman" w:hAnsi="Times New Roman" w:eastAsia="宋体" w:cs="Times New Roman"/>
          <w:sz w:val="28"/>
          <w:szCs w:val="32"/>
        </w:rPr>
      </w:pPr>
    </w:p>
    <w:p w14:paraId="6E2EDE84">
      <w:pPr>
        <w:snapToGrid w:val="0"/>
        <w:spacing w:line="360" w:lineRule="auto"/>
        <w:jc w:val="left"/>
        <w:rPr>
          <w:rFonts w:ascii="Times New Roman" w:hAnsi="Times New Roman" w:eastAsia="宋体" w:cs="Times New Roman"/>
          <w:sz w:val="28"/>
          <w:szCs w:val="32"/>
        </w:rPr>
      </w:pPr>
    </w:p>
    <w:p w14:paraId="11CE0CBF">
      <w:pPr>
        <w:snapToGrid w:val="0"/>
        <w:spacing w:line="360" w:lineRule="auto"/>
        <w:jc w:val="left"/>
        <w:rPr>
          <w:rFonts w:ascii="Times New Roman" w:hAnsi="Times New Roman" w:eastAsia="宋体" w:cs="Times New Roman"/>
          <w:sz w:val="28"/>
          <w:szCs w:val="32"/>
        </w:rPr>
      </w:pPr>
    </w:p>
    <w:p w14:paraId="2C1C6223">
      <w:pPr>
        <w:snapToGrid w:val="0"/>
        <w:spacing w:line="360" w:lineRule="auto"/>
        <w:jc w:val="left"/>
        <w:rPr>
          <w:rFonts w:ascii="Times New Roman" w:hAnsi="Times New Roman" w:eastAsia="宋体" w:cs="Times New Roman"/>
          <w:sz w:val="28"/>
          <w:szCs w:val="32"/>
        </w:rPr>
      </w:pPr>
    </w:p>
    <w:p w14:paraId="10220557">
      <w:pPr>
        <w:rPr>
          <w:rFonts w:ascii="Times New Roman" w:hAnsi="Times New Roman" w:eastAsia="宋体" w:cs="Times New Roman"/>
          <w:sz w:val="28"/>
          <w:szCs w:val="32"/>
        </w:rPr>
      </w:pPr>
      <w:r>
        <w:rPr>
          <w:rFonts w:hint="eastAsia" w:ascii="Times New Roman" w:hAnsi="Times New Roman" w:eastAsia="宋体" w:cs="Times New Roman"/>
          <w:sz w:val="28"/>
          <w:szCs w:val="32"/>
        </w:rPr>
        <w:t>参考：</w:t>
      </w:r>
    </w:p>
    <w:p w14:paraId="043388B1">
      <w:pPr>
        <w:rPr>
          <w:rFonts w:ascii="Times New Roman" w:hAnsi="Times New Roman" w:eastAsia="宋体" w:cs="Times New Roman"/>
          <w:sz w:val="28"/>
          <w:szCs w:val="32"/>
        </w:rPr>
      </w:pPr>
      <w:r>
        <w:rPr>
          <w:rFonts w:hint="eastAsia" w:ascii="Times New Roman" w:hAnsi="Times New Roman" w:eastAsia="宋体" w:cs="Times New Roman"/>
          <w:sz w:val="28"/>
          <w:szCs w:val="32"/>
        </w:rPr>
        <w:t>DA2021/1698第 10条：对申请组织或申请团体的认证进行检查</w:t>
      </w:r>
    </w:p>
    <w:p w14:paraId="480F969D">
      <w:pPr>
        <w:rPr>
          <w:rFonts w:ascii="Times New Roman" w:hAnsi="Times New Roman" w:eastAsia="宋体" w:cs="Times New Roman"/>
          <w:sz w:val="28"/>
          <w:szCs w:val="32"/>
        </w:rPr>
      </w:pPr>
      <w:r>
        <w:rPr>
          <w:rFonts w:hint="eastAsia" w:ascii="Times New Roman" w:hAnsi="Times New Roman" w:eastAsia="宋体" w:cs="Times New Roman"/>
          <w:sz w:val="28"/>
          <w:szCs w:val="32"/>
        </w:rPr>
        <w:t>References:</w:t>
      </w:r>
    </w:p>
    <w:p w14:paraId="1911D43D">
      <w:pPr>
        <w:rPr>
          <w:rFonts w:ascii="Times New Roman" w:hAnsi="Times New Roman" w:eastAsia="宋体" w:cs="Times New Roman"/>
          <w:sz w:val="28"/>
          <w:szCs w:val="32"/>
        </w:rPr>
      </w:pPr>
      <w:r>
        <w:rPr>
          <w:rFonts w:hint="eastAsia" w:ascii="Times New Roman" w:hAnsi="Times New Roman" w:eastAsia="宋体" w:cs="Times New Roman"/>
          <w:sz w:val="28"/>
          <w:szCs w:val="32"/>
        </w:rPr>
        <w:t>Article10 of Regulation DA2021/1698：Checks for the certification of operators or groups of operators</w:t>
      </w:r>
    </w:p>
    <w:p w14:paraId="507E1615">
      <w:pPr>
        <w:snapToGrid w:val="0"/>
        <w:spacing w:line="360" w:lineRule="auto"/>
        <w:jc w:val="left"/>
        <w:rPr>
          <w:rFonts w:hint="eastAsia" w:ascii="Times New Roman" w:hAnsi="Times New Roman" w:eastAsia="宋体" w:cs="Times New Roman"/>
          <w:sz w:val="28"/>
          <w:szCs w:val="32"/>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2"/>
              <w:ind w:right="540"/>
              <w:jc w:val="right"/>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429C88AF">
    <w:pPr>
      <w:pStyle w:val="2"/>
      <w:rPr>
        <w:rFonts w:hint="eastAsia"/>
      </w:rPr>
    </w:pPr>
    <w:r>
      <w:rPr>
        <w:rFonts w:hint="eastAsia"/>
      </w:rPr>
      <w:t>FR0102-Application-Declarations to CETC</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3"/>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
  <w:rsids>
    <w:rsidRoot w:val="00911BE5"/>
    <w:rsid w:val="00040136"/>
    <w:rsid w:val="000535A8"/>
    <w:rsid w:val="00054142"/>
    <w:rsid w:val="000E1040"/>
    <w:rsid w:val="001270E0"/>
    <w:rsid w:val="00195319"/>
    <w:rsid w:val="00290C5D"/>
    <w:rsid w:val="00372D36"/>
    <w:rsid w:val="00480692"/>
    <w:rsid w:val="006417A4"/>
    <w:rsid w:val="0067688C"/>
    <w:rsid w:val="00696C48"/>
    <w:rsid w:val="00703118"/>
    <w:rsid w:val="0071391B"/>
    <w:rsid w:val="00790770"/>
    <w:rsid w:val="007C3B22"/>
    <w:rsid w:val="007E4D8B"/>
    <w:rsid w:val="00911BE5"/>
    <w:rsid w:val="00A203C4"/>
    <w:rsid w:val="00A40F3B"/>
    <w:rsid w:val="00BB6335"/>
    <w:rsid w:val="00D160F2"/>
    <w:rsid w:val="00D245E7"/>
    <w:rsid w:val="00DD5A3A"/>
    <w:rsid w:val="00E511CB"/>
    <w:rsid w:val="00E746D0"/>
    <w:rsid w:val="00EE69D5"/>
    <w:rsid w:val="00F7424E"/>
    <w:rsid w:val="11591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563C1" w:themeColor="hyperlink"/>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uiPriority w:val="99"/>
    <w:rPr>
      <w:sz w:val="18"/>
      <w:szCs w:val="18"/>
    </w:rPr>
  </w:style>
  <w:style w:type="character" w:customStyle="1" w:styleId="10">
    <w:name w:val="Unresolved Mention"/>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626</Words>
  <Characters>1311</Characters>
  <Lines>10</Lines>
  <Paragraphs>2</Paragraphs>
  <TotalTime>66</TotalTime>
  <ScaleCrop>false</ScaleCrop>
  <LinksUpToDate>false</LinksUpToDate>
  <CharactersWithSpaces>1439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2024-09-12T07:10:00Z</dcterms:created>
  <dc:creator>振 王</dc:creator>
  <cp:lastModifiedBy>ྀྀི玖思</cp:lastModifiedBy>
  <dcterms:modified xsi:type="dcterms:W3CDTF">2025-06-27T07:58:46Z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eyJoZGlkIjoiMDE0YjgwNWRhOTE0NjU4NmFkZWVhN2JhYTk2YjI4YjMiLCJ1c2VySWQiOiIxNTYwOTAzMjc1In0=</vt:lpwstr>
  </property>
  <property fmtid="{D5CDD505-2E9C-101B-9397-08002B2CF9AE}" pid="3" name="KSOProductBuildVer">
    <vt:lpwstr>2052-12.1.0.21541</vt:lpwstr>
  </property>
  <property fmtid="{D5CDD505-2E9C-101B-9397-08002B2CF9AE}" pid="4" name="ICV">
    <vt:lpwstr>D15B62161C8B42818C1CD839D7749261_12</vt:lpwstr>
  </property>
</Properties>
</file>